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98E" w:rsidRDefault="000A598E" w:rsidP="000A598E">
      <w:pPr>
        <w:pStyle w:val="LEVELC"/>
      </w:pPr>
      <w:r>
        <w:t>Topic 4</w:t>
      </w:r>
      <w:r>
        <w:tab/>
        <w:t>Australia and World War II</w:t>
      </w:r>
    </w:p>
    <w:p w:rsidR="000A598E" w:rsidRDefault="000A598E" w:rsidP="000A598E">
      <w:pPr>
        <w:pStyle w:val="BODYTEXT"/>
        <w:rPr>
          <w:b/>
          <w:lang w:val="en-AU"/>
        </w:rPr>
      </w:pPr>
    </w:p>
    <w:p w:rsidR="000A598E" w:rsidRDefault="000A598E" w:rsidP="000A598E">
      <w:pPr>
        <w:pStyle w:val="BODYTEXT"/>
        <w:rPr>
          <w:lang w:val="en-AU"/>
        </w:rPr>
      </w:pPr>
      <w:r>
        <w:rPr>
          <w:lang w:val="en-AU"/>
        </w:rPr>
        <w:t>The Second World War had a major impact on the generation who fought and lived through it. Australia’s relationship with Britain and the United States was fundamentally altered. In this topic, students will explore the experiences of Australians on both the war front and the home front. Internal choice offers opportunities to study issues and events of particular interest or local significance in more depth.</w:t>
      </w:r>
    </w:p>
    <w:p w:rsidR="000A598E" w:rsidRDefault="000A598E" w:rsidP="000A598E">
      <w:pPr>
        <w:pStyle w:val="BODYTEXT"/>
        <w:rPr>
          <w:b/>
          <w:lang w:val="en-AU"/>
        </w:rPr>
      </w:pPr>
    </w:p>
    <w:p w:rsidR="000A598E" w:rsidRDefault="000A598E" w:rsidP="000A598E">
      <w:pPr>
        <w:pStyle w:val="BODYTEXT"/>
        <w:rPr>
          <w:b/>
          <w:lang w:val="en-AU"/>
        </w:rPr>
      </w:pPr>
      <w:r>
        <w:rPr>
          <w:b/>
          <w:lang w:val="en-AU"/>
        </w:rPr>
        <w:t>Inquiry questions</w:t>
      </w:r>
    </w:p>
    <w:p w:rsidR="000A598E" w:rsidRDefault="000A598E" w:rsidP="000A598E">
      <w:pPr>
        <w:pStyle w:val="ListBullet"/>
      </w:pPr>
      <w:r>
        <w:t>Why was Australia involved in World War II?</w:t>
      </w:r>
    </w:p>
    <w:p w:rsidR="000A598E" w:rsidRDefault="000A598E" w:rsidP="000A598E">
      <w:pPr>
        <w:pStyle w:val="ListBullet"/>
      </w:pPr>
      <w:r>
        <w:t xml:space="preserve">What were some of the experiences of Australians as a result of their involvement in the war? </w:t>
      </w:r>
    </w:p>
    <w:p w:rsidR="000A598E" w:rsidRDefault="000A598E" w:rsidP="000A598E">
      <w:pPr>
        <w:pStyle w:val="ListBullet"/>
      </w:pPr>
      <w:r>
        <w:t>What was the impact of the war on the Australian home front?</w:t>
      </w:r>
    </w:p>
    <w:p w:rsidR="000A598E" w:rsidRDefault="000A598E" w:rsidP="000A598E">
      <w:pPr>
        <w:pStyle w:val="ListBullet"/>
      </w:pPr>
      <w:r>
        <w:t>How did Australia’s relationship with Britain and the USA change during World War II?</w:t>
      </w:r>
    </w:p>
    <w:p w:rsidR="000A598E" w:rsidRDefault="000A598E" w:rsidP="000A598E">
      <w:pPr>
        <w:pStyle w:val="BODYTEXT"/>
      </w:pPr>
    </w:p>
    <w:p w:rsidR="000A598E" w:rsidRDefault="000A598E" w:rsidP="000A598E">
      <w:pPr>
        <w:pStyle w:val="BODYTEXT"/>
      </w:pPr>
      <w:r>
        <w:rPr>
          <w:b/>
        </w:rPr>
        <w:t>Outcomes</w:t>
      </w:r>
    </w:p>
    <w:p w:rsidR="000A598E" w:rsidRDefault="000A598E" w:rsidP="000A598E">
      <w:pPr>
        <w:pStyle w:val="BODYTEXT"/>
      </w:pPr>
      <w:r>
        <w:t>Throughout this topic, students work towards all outcomes, with particular focus on those listed below.</w:t>
      </w:r>
    </w:p>
    <w:p w:rsidR="000A598E" w:rsidRDefault="000A598E" w:rsidP="000A598E">
      <w:pPr>
        <w:pStyle w:val="BODYTEXT"/>
      </w:pPr>
    </w:p>
    <w:p w:rsidR="000A598E" w:rsidRDefault="000A598E" w:rsidP="000A598E">
      <w:pPr>
        <w:pStyle w:val="BODYTEXT"/>
      </w:pPr>
      <w:r>
        <w:t>A student:</w:t>
      </w:r>
    </w:p>
    <w:p w:rsidR="000A598E" w:rsidRDefault="000A598E" w:rsidP="000A598E">
      <w:pPr>
        <w:pStyle w:val="BODYTEXT"/>
        <w:ind w:left="720" w:hanging="720"/>
      </w:pPr>
      <w:r>
        <w:t>5.2</w:t>
      </w:r>
      <w:r>
        <w:tab/>
        <w:t>assesses the impact of international events and relationships on Australia’s history</w:t>
      </w:r>
    </w:p>
    <w:p w:rsidR="000A598E" w:rsidRDefault="000A598E" w:rsidP="000A598E">
      <w:pPr>
        <w:pStyle w:val="BODYTEXT"/>
        <w:ind w:left="720" w:hanging="720"/>
      </w:pPr>
      <w:r>
        <w:t>5.3</w:t>
      </w:r>
      <w:r>
        <w:tab/>
        <w:t xml:space="preserve">explains the changing rights and freedoms of Aboriginal peoples and other groups in Australia </w:t>
      </w:r>
    </w:p>
    <w:p w:rsidR="000A598E" w:rsidRDefault="000A598E" w:rsidP="000A598E">
      <w:pPr>
        <w:pStyle w:val="BODYTEXT"/>
        <w:ind w:left="720" w:hanging="720"/>
      </w:pPr>
      <w:r>
        <w:t>5.4</w:t>
      </w:r>
      <w:r>
        <w:tab/>
        <w:t>sequences major historical events to show an understanding of continuity, change and causation</w:t>
      </w:r>
    </w:p>
    <w:p w:rsidR="000A598E" w:rsidRDefault="000A598E" w:rsidP="000A598E">
      <w:pPr>
        <w:pStyle w:val="BODYTEXT"/>
        <w:ind w:left="720" w:hanging="720"/>
      </w:pPr>
      <w:r>
        <w:t>5.5</w:t>
      </w:r>
      <w:r>
        <w:tab/>
        <w:t>identifies, comprehends and evaluates historical sources</w:t>
      </w:r>
    </w:p>
    <w:p w:rsidR="000A598E" w:rsidRDefault="000A598E" w:rsidP="000A598E">
      <w:pPr>
        <w:pStyle w:val="BODYTEXT"/>
        <w:ind w:left="720" w:hanging="720"/>
      </w:pPr>
      <w:r>
        <w:t>5.7</w:t>
      </w:r>
      <w:r>
        <w:tab/>
        <w:t>explains different contexts, perspectives and interpretations of the past.</w:t>
      </w:r>
    </w:p>
    <w:p w:rsidR="000A598E" w:rsidRDefault="000A598E" w:rsidP="000A598E">
      <w:pPr>
        <w:pStyle w:val="BODYTEXT"/>
      </w:pPr>
    </w:p>
    <w:tbl>
      <w:tblPr>
        <w:tblW w:w="9243"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43"/>
      </w:tblGrid>
      <w:tr w:rsidR="000A598E" w:rsidTr="00A30A78">
        <w:tblPrEx>
          <w:tblCellMar>
            <w:top w:w="0" w:type="dxa"/>
            <w:bottom w:w="0" w:type="dxa"/>
          </w:tblCellMar>
        </w:tblPrEx>
        <w:tc>
          <w:tcPr>
            <w:tcW w:w="9243" w:type="dxa"/>
            <w:tcBorders>
              <w:bottom w:val="single" w:sz="4" w:space="0" w:color="auto"/>
            </w:tcBorders>
            <w:tcMar>
              <w:top w:w="57" w:type="dxa"/>
              <w:left w:w="85" w:type="dxa"/>
              <w:bottom w:w="57" w:type="dxa"/>
              <w:right w:w="85" w:type="dxa"/>
            </w:tcMar>
          </w:tcPr>
          <w:p w:rsidR="000A598E" w:rsidRDefault="000A598E" w:rsidP="00A30A78">
            <w:pPr>
              <w:pStyle w:val="tabletext"/>
              <w:rPr>
                <w:b/>
              </w:rPr>
            </w:pPr>
            <w:r>
              <w:rPr>
                <w:b/>
              </w:rPr>
              <w:t>Working Historically</w:t>
            </w:r>
          </w:p>
          <w:p w:rsidR="000A598E" w:rsidRDefault="000A598E" w:rsidP="00A30A78">
            <w:pPr>
              <w:pStyle w:val="tabletext"/>
            </w:pPr>
            <w:r>
              <w:t>Historical skills to be integrated into this topic:</w:t>
            </w:r>
          </w:p>
          <w:p w:rsidR="000A598E" w:rsidRDefault="000A598E" w:rsidP="00A30A78">
            <w:pPr>
              <w:pStyle w:val="tablebullet"/>
            </w:pPr>
            <w:r>
              <w:t>sequence major events within the relevant period of time</w:t>
            </w:r>
          </w:p>
          <w:p w:rsidR="000A598E" w:rsidRDefault="000A598E" w:rsidP="00A30A78">
            <w:pPr>
              <w:pStyle w:val="tablebullet"/>
            </w:pPr>
            <w:r>
              <w:t>explain different perspectives of individuals and groups</w:t>
            </w:r>
          </w:p>
          <w:p w:rsidR="000A598E" w:rsidRDefault="000A598E" w:rsidP="00A30A78">
            <w:pPr>
              <w:pStyle w:val="tablebullet"/>
            </w:pPr>
            <w:r>
              <w:t>recognise that historians may interpret events differently</w:t>
            </w:r>
          </w:p>
          <w:p w:rsidR="000A598E" w:rsidRDefault="000A598E" w:rsidP="00A30A78">
            <w:pPr>
              <w:pStyle w:val="tablebullet"/>
            </w:pPr>
            <w:r>
              <w:t>use and evaluate historical sources for an historical inquiry.</w:t>
            </w:r>
          </w:p>
          <w:p w:rsidR="000A598E" w:rsidRDefault="000A598E" w:rsidP="00A30A78">
            <w:pPr>
              <w:pStyle w:val="tabletext"/>
            </w:pPr>
          </w:p>
          <w:p w:rsidR="000A598E" w:rsidRDefault="000A598E" w:rsidP="00A30A78">
            <w:pPr>
              <w:pStyle w:val="tabletext"/>
            </w:pPr>
            <w:r>
              <w:t>ICT skills appropriate for this topic may include:</w:t>
            </w:r>
          </w:p>
          <w:p w:rsidR="000A598E" w:rsidRDefault="000A598E" w:rsidP="00A30A78">
            <w:pPr>
              <w:pStyle w:val="tablebullet"/>
            </w:pPr>
            <w:r>
              <w:t>create a formatted, multi-paged document as part of an historical inquiry.</w:t>
            </w:r>
          </w:p>
          <w:p w:rsidR="000A598E" w:rsidRDefault="000A598E" w:rsidP="00A30A78">
            <w:pPr>
              <w:pStyle w:val="tabletext"/>
            </w:pPr>
          </w:p>
          <w:p w:rsidR="000A598E" w:rsidRDefault="000A598E" w:rsidP="00A30A78">
            <w:pPr>
              <w:pStyle w:val="tabletext"/>
              <w:rPr>
                <w:b/>
              </w:rPr>
            </w:pPr>
            <w:r>
              <w:rPr>
                <w:b/>
              </w:rPr>
              <w:t>Suggested Site Studies include:</w:t>
            </w:r>
          </w:p>
          <w:p w:rsidR="000A598E" w:rsidRDefault="000A598E" w:rsidP="00A30A78">
            <w:pPr>
              <w:pStyle w:val="tablebullet"/>
            </w:pPr>
            <w:r>
              <w:t>a local or national war memorial</w:t>
            </w:r>
          </w:p>
          <w:p w:rsidR="000A598E" w:rsidRDefault="000A598E" w:rsidP="00A30A78">
            <w:pPr>
              <w:pStyle w:val="tablebullet"/>
            </w:pPr>
            <w:r>
              <w:t xml:space="preserve">a local site </w:t>
            </w:r>
          </w:p>
          <w:p w:rsidR="000A598E" w:rsidRDefault="000A598E" w:rsidP="00A30A78">
            <w:pPr>
              <w:pStyle w:val="tablebullet"/>
            </w:pPr>
            <w:r>
              <w:t>a virtual site of a theatre of war/event in World War II</w:t>
            </w:r>
          </w:p>
          <w:p w:rsidR="000A598E" w:rsidRDefault="000A598E" w:rsidP="00A30A78">
            <w:pPr>
              <w:pStyle w:val="tablebullet"/>
            </w:pPr>
            <w:r>
              <w:t>a museum study.</w:t>
            </w:r>
          </w:p>
        </w:tc>
      </w:tr>
    </w:tbl>
    <w:p w:rsidR="000A598E" w:rsidRDefault="000A598E" w:rsidP="000A598E">
      <w:pPr>
        <w:pStyle w:val="BODYTEXT"/>
      </w:pPr>
    </w:p>
    <w:p w:rsidR="000A598E" w:rsidRDefault="000A598E" w:rsidP="000A598E">
      <w:pPr>
        <w:pStyle w:val="BODYTEXT"/>
        <w:rPr>
          <w:sz w:val="2"/>
        </w:rPr>
      </w:pPr>
      <w:r>
        <w:br w:type="page"/>
      </w:r>
    </w:p>
    <w:tbl>
      <w:tblPr>
        <w:tblW w:w="924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tblPr>
      <w:tblGrid>
        <w:gridCol w:w="4634"/>
        <w:gridCol w:w="4606"/>
      </w:tblGrid>
      <w:tr w:rsidR="000A598E" w:rsidTr="00A30A78">
        <w:trPr>
          <w:tblHeader/>
        </w:trPr>
        <w:tc>
          <w:tcPr>
            <w:tcW w:w="4634" w:type="dxa"/>
            <w:tcBorders>
              <w:bottom w:val="nil"/>
            </w:tcBorders>
          </w:tcPr>
          <w:p w:rsidR="000A598E" w:rsidRDefault="000A598E" w:rsidP="00A30A78">
            <w:pPr>
              <w:pStyle w:val="tabletext"/>
              <w:rPr>
                <w:b/>
              </w:rPr>
            </w:pPr>
            <w:r>
              <w:rPr>
                <w:b/>
              </w:rPr>
              <w:lastRenderedPageBreak/>
              <w:t>Students learn about:</w:t>
            </w:r>
          </w:p>
        </w:tc>
        <w:tc>
          <w:tcPr>
            <w:tcW w:w="4606" w:type="dxa"/>
            <w:tcBorders>
              <w:bottom w:val="nil"/>
            </w:tcBorders>
          </w:tcPr>
          <w:p w:rsidR="000A598E" w:rsidRDefault="000A598E" w:rsidP="00A30A78">
            <w:pPr>
              <w:pStyle w:val="tabletext"/>
              <w:rPr>
                <w:b/>
              </w:rPr>
            </w:pPr>
            <w:r>
              <w:rPr>
                <w:b/>
              </w:rPr>
              <w:t>Students learn to:</w:t>
            </w:r>
          </w:p>
        </w:tc>
      </w:tr>
      <w:tr w:rsidR="000A598E" w:rsidTr="00A30A78">
        <w:tc>
          <w:tcPr>
            <w:tcW w:w="4634" w:type="dxa"/>
            <w:vMerge w:val="restart"/>
            <w:tcBorders>
              <w:top w:val="nil"/>
              <w:left w:val="single" w:sz="4" w:space="0" w:color="auto"/>
            </w:tcBorders>
          </w:tcPr>
          <w:p w:rsidR="000A598E" w:rsidRDefault="000A598E" w:rsidP="00A30A78">
            <w:pPr>
              <w:pStyle w:val="tablebullet"/>
            </w:pPr>
            <w:r>
              <w:t>Australia’s involvement in WWII</w:t>
            </w:r>
          </w:p>
        </w:tc>
        <w:tc>
          <w:tcPr>
            <w:tcW w:w="4606" w:type="dxa"/>
            <w:tcBorders>
              <w:top w:val="nil"/>
              <w:left w:val="nil"/>
              <w:bottom w:val="nil"/>
            </w:tcBorders>
          </w:tcPr>
          <w:p w:rsidR="000A598E" w:rsidRDefault="000A598E" w:rsidP="00A30A78">
            <w:pPr>
              <w:pStyle w:val="tablebullet"/>
            </w:pPr>
            <w:r>
              <w:t>explain the reasons for Australia’s involvement in WWII</w:t>
            </w:r>
          </w:p>
        </w:tc>
      </w:tr>
      <w:tr w:rsidR="000A598E" w:rsidTr="00A30A78">
        <w:tc>
          <w:tcPr>
            <w:tcW w:w="4634" w:type="dxa"/>
            <w:vMerge/>
            <w:tcBorders>
              <w:left w:val="single" w:sz="4" w:space="0" w:color="auto"/>
              <w:bottom w:val="nil"/>
            </w:tcBorders>
          </w:tcPr>
          <w:p w:rsidR="000A598E" w:rsidRDefault="000A598E" w:rsidP="00A30A78">
            <w:pPr>
              <w:pStyle w:val="tablebullet"/>
            </w:pPr>
          </w:p>
        </w:tc>
        <w:tc>
          <w:tcPr>
            <w:tcW w:w="4606" w:type="dxa"/>
            <w:tcBorders>
              <w:top w:val="nil"/>
              <w:left w:val="nil"/>
              <w:bottom w:val="nil"/>
            </w:tcBorders>
          </w:tcPr>
          <w:p w:rsidR="000A598E" w:rsidRDefault="000A598E" w:rsidP="00A30A78">
            <w:pPr>
              <w:pStyle w:val="tablebullet"/>
            </w:pPr>
            <w:r>
              <w:t>identify the places where Australians fought in WWII</w:t>
            </w:r>
          </w:p>
        </w:tc>
      </w:tr>
      <w:tr w:rsidR="000A598E" w:rsidTr="00A30A78">
        <w:tc>
          <w:tcPr>
            <w:tcW w:w="4634" w:type="dxa"/>
            <w:tcBorders>
              <w:top w:val="nil"/>
              <w:left w:val="single" w:sz="4" w:space="0" w:color="auto"/>
              <w:bottom w:val="nil"/>
            </w:tcBorders>
          </w:tcPr>
          <w:p w:rsidR="000A598E" w:rsidRDefault="000A598E" w:rsidP="00A30A78">
            <w:pPr>
              <w:pStyle w:val="tablebullet"/>
            </w:pPr>
            <w:r>
              <w:t>the experiences of Australians serving in WWII, with particular emphasis on ONE of the following:</w:t>
            </w:r>
          </w:p>
          <w:p w:rsidR="000A598E" w:rsidRDefault="000A598E" w:rsidP="00A30A78">
            <w:pPr>
              <w:pStyle w:val="tablebullet2"/>
            </w:pPr>
            <w:r>
              <w:t>Kokoda or another New Guinea campaign</w:t>
            </w:r>
          </w:p>
          <w:p w:rsidR="000A598E" w:rsidRDefault="000A598E" w:rsidP="00A30A78">
            <w:pPr>
              <w:pStyle w:val="tablebullet2"/>
            </w:pPr>
            <w:r>
              <w:t>prisoners of war</w:t>
            </w:r>
          </w:p>
          <w:p w:rsidR="000A598E" w:rsidRDefault="000A598E" w:rsidP="00A30A78">
            <w:pPr>
              <w:pStyle w:val="tablebullet2"/>
            </w:pPr>
            <w:r>
              <w:t>a campaign in another theatre of war</w:t>
            </w:r>
          </w:p>
          <w:p w:rsidR="000A598E" w:rsidRDefault="000A598E" w:rsidP="00A30A78">
            <w:pPr>
              <w:pStyle w:val="tablebullet2"/>
            </w:pPr>
            <w:r>
              <w:t>Australian nurses serving in the war</w:t>
            </w:r>
          </w:p>
        </w:tc>
        <w:tc>
          <w:tcPr>
            <w:tcW w:w="4606" w:type="dxa"/>
            <w:tcBorders>
              <w:top w:val="nil"/>
              <w:left w:val="nil"/>
              <w:bottom w:val="nil"/>
            </w:tcBorders>
          </w:tcPr>
          <w:p w:rsidR="000A598E" w:rsidRDefault="000A598E" w:rsidP="00A30A78">
            <w:pPr>
              <w:pStyle w:val="tablebullet"/>
            </w:pPr>
            <w:r>
              <w:t xml:space="preserve">describe the experiences of Australians serving in WWII, with emphasis on the chosen study </w:t>
            </w:r>
          </w:p>
        </w:tc>
      </w:tr>
      <w:tr w:rsidR="000A598E" w:rsidTr="00A30A78">
        <w:tc>
          <w:tcPr>
            <w:tcW w:w="4634" w:type="dxa"/>
            <w:tcBorders>
              <w:top w:val="nil"/>
              <w:left w:val="single" w:sz="4" w:space="0" w:color="auto"/>
              <w:bottom w:val="nil"/>
            </w:tcBorders>
          </w:tcPr>
          <w:p w:rsidR="000A598E" w:rsidRDefault="000A598E" w:rsidP="00A30A78">
            <w:pPr>
              <w:pStyle w:val="tablebullet"/>
            </w:pPr>
            <w:r>
              <w:t>the impact of the war on Australian civilians with a particular emphasis on ONE of the following:</w:t>
            </w:r>
          </w:p>
          <w:p w:rsidR="000A598E" w:rsidRDefault="000A598E" w:rsidP="00A30A78">
            <w:pPr>
              <w:pStyle w:val="tablebullet2"/>
            </w:pPr>
            <w:r>
              <w:t>the bombing of Darwin</w:t>
            </w:r>
          </w:p>
          <w:p w:rsidR="000A598E" w:rsidRDefault="000A598E" w:rsidP="00A30A78">
            <w:pPr>
              <w:pStyle w:val="tablebullet2"/>
            </w:pPr>
            <w:r>
              <w:t>the Japanese submarine attack on Sydney</w:t>
            </w:r>
          </w:p>
          <w:p w:rsidR="000A598E" w:rsidRDefault="000A598E" w:rsidP="00A30A78">
            <w:pPr>
              <w:pStyle w:val="tablebullet2"/>
            </w:pPr>
            <w:r>
              <w:t>the internment of ‘enemy aliens’</w:t>
            </w:r>
          </w:p>
          <w:p w:rsidR="000A598E" w:rsidRDefault="000A598E" w:rsidP="00A30A78">
            <w:pPr>
              <w:pStyle w:val="tablebullet2"/>
            </w:pPr>
            <w:r>
              <w:t>a significant local event or issue</w:t>
            </w:r>
          </w:p>
        </w:tc>
        <w:tc>
          <w:tcPr>
            <w:tcW w:w="4606" w:type="dxa"/>
            <w:tcBorders>
              <w:top w:val="nil"/>
              <w:left w:val="nil"/>
              <w:bottom w:val="nil"/>
            </w:tcBorders>
          </w:tcPr>
          <w:p w:rsidR="000A598E" w:rsidRDefault="000A598E" w:rsidP="00A30A78">
            <w:pPr>
              <w:pStyle w:val="tablebullet"/>
            </w:pPr>
            <w:r>
              <w:t>explain the impact of the war on Australian civilians with a particular emphasis on the chosen event or issue</w:t>
            </w:r>
          </w:p>
        </w:tc>
      </w:tr>
      <w:tr w:rsidR="000A598E" w:rsidTr="00A30A78">
        <w:tc>
          <w:tcPr>
            <w:tcW w:w="4634" w:type="dxa"/>
            <w:vMerge w:val="restart"/>
            <w:tcBorders>
              <w:top w:val="nil"/>
              <w:left w:val="single" w:sz="4" w:space="0" w:color="auto"/>
              <w:bottom w:val="nil"/>
            </w:tcBorders>
          </w:tcPr>
          <w:p w:rsidR="000A598E" w:rsidRDefault="000A598E" w:rsidP="00A30A78">
            <w:pPr>
              <w:pStyle w:val="tablebullet"/>
            </w:pPr>
            <w:r>
              <w:t>wartime government controls including</w:t>
            </w:r>
          </w:p>
          <w:p w:rsidR="000A598E" w:rsidRDefault="000A598E" w:rsidP="00A30A78">
            <w:pPr>
              <w:pStyle w:val="tablebullet2"/>
            </w:pPr>
            <w:r>
              <w:t>conscription</w:t>
            </w:r>
          </w:p>
          <w:p w:rsidR="000A598E" w:rsidRDefault="000A598E" w:rsidP="00A30A78">
            <w:pPr>
              <w:pStyle w:val="tablebullet2"/>
            </w:pPr>
            <w:r>
              <w:t>manpower controls</w:t>
            </w:r>
          </w:p>
          <w:p w:rsidR="000A598E" w:rsidRDefault="000A598E" w:rsidP="00A30A78">
            <w:pPr>
              <w:pStyle w:val="tablebullet2"/>
            </w:pPr>
            <w:r>
              <w:t xml:space="preserve">rationing </w:t>
            </w:r>
          </w:p>
          <w:p w:rsidR="000A598E" w:rsidRDefault="000A598E" w:rsidP="00A30A78">
            <w:pPr>
              <w:pStyle w:val="tablebullet2"/>
            </w:pPr>
            <w:r>
              <w:t>censorship</w:t>
            </w:r>
          </w:p>
        </w:tc>
        <w:tc>
          <w:tcPr>
            <w:tcW w:w="4606" w:type="dxa"/>
            <w:tcBorders>
              <w:top w:val="nil"/>
              <w:left w:val="nil"/>
              <w:bottom w:val="nil"/>
            </w:tcBorders>
          </w:tcPr>
          <w:p w:rsidR="000A598E" w:rsidRDefault="000A598E" w:rsidP="00A30A78">
            <w:pPr>
              <w:pStyle w:val="tablebullet"/>
            </w:pPr>
            <w:r>
              <w:t>describe the controls on civilian life imposed by the wartime government</w:t>
            </w:r>
          </w:p>
        </w:tc>
      </w:tr>
      <w:tr w:rsidR="000A598E" w:rsidTr="00A30A78">
        <w:tc>
          <w:tcPr>
            <w:tcW w:w="4634" w:type="dxa"/>
            <w:vMerge/>
            <w:tcBorders>
              <w:top w:val="nil"/>
              <w:left w:val="single" w:sz="4" w:space="0" w:color="auto"/>
              <w:bottom w:val="nil"/>
            </w:tcBorders>
          </w:tcPr>
          <w:p w:rsidR="000A598E" w:rsidRDefault="000A598E" w:rsidP="00A30A78">
            <w:pPr>
              <w:pStyle w:val="tablebullet"/>
            </w:pPr>
          </w:p>
        </w:tc>
        <w:tc>
          <w:tcPr>
            <w:tcW w:w="4606" w:type="dxa"/>
            <w:tcBorders>
              <w:top w:val="nil"/>
              <w:left w:val="nil"/>
              <w:bottom w:val="nil"/>
            </w:tcBorders>
          </w:tcPr>
          <w:p w:rsidR="000A598E" w:rsidRDefault="000A598E" w:rsidP="00A30A78">
            <w:pPr>
              <w:pStyle w:val="tablebullet"/>
            </w:pPr>
            <w:r>
              <w:t>outline the arguments for and against such controls in wartime.</w:t>
            </w:r>
          </w:p>
        </w:tc>
      </w:tr>
      <w:tr w:rsidR="000A598E" w:rsidTr="00A30A78">
        <w:tc>
          <w:tcPr>
            <w:tcW w:w="4634" w:type="dxa"/>
            <w:tcBorders>
              <w:top w:val="nil"/>
              <w:left w:val="single" w:sz="4" w:space="0" w:color="auto"/>
              <w:bottom w:val="nil"/>
            </w:tcBorders>
          </w:tcPr>
          <w:p w:rsidR="000A598E" w:rsidRDefault="000A598E" w:rsidP="00A30A78">
            <w:pPr>
              <w:pStyle w:val="tablebullet"/>
            </w:pPr>
            <w:r>
              <w:t>the changing roles of Australian women in WWII</w:t>
            </w:r>
          </w:p>
        </w:tc>
        <w:tc>
          <w:tcPr>
            <w:tcW w:w="4606" w:type="dxa"/>
            <w:tcBorders>
              <w:top w:val="nil"/>
              <w:left w:val="nil"/>
              <w:bottom w:val="nil"/>
            </w:tcBorders>
          </w:tcPr>
          <w:p w:rsidR="000A598E" w:rsidRDefault="000A598E" w:rsidP="00A30A78">
            <w:pPr>
              <w:pStyle w:val="tablebullet"/>
            </w:pPr>
            <w:r>
              <w:t>describe the changing roles of women during WWII</w:t>
            </w:r>
          </w:p>
        </w:tc>
      </w:tr>
      <w:tr w:rsidR="000A598E" w:rsidTr="00A30A78">
        <w:tc>
          <w:tcPr>
            <w:tcW w:w="4634" w:type="dxa"/>
            <w:tcBorders>
              <w:top w:val="nil"/>
              <w:left w:val="single" w:sz="4" w:space="0" w:color="auto"/>
              <w:bottom w:val="single" w:sz="4" w:space="0" w:color="auto"/>
            </w:tcBorders>
          </w:tcPr>
          <w:p w:rsidR="000A598E" w:rsidRDefault="000A598E" w:rsidP="00A30A78">
            <w:pPr>
              <w:pStyle w:val="tablebullet"/>
            </w:pPr>
            <w:r>
              <w:t>Australia’s changing relations with Britain and the USA during WWII</w:t>
            </w:r>
          </w:p>
        </w:tc>
        <w:tc>
          <w:tcPr>
            <w:tcW w:w="4606" w:type="dxa"/>
            <w:tcBorders>
              <w:top w:val="nil"/>
              <w:left w:val="nil"/>
              <w:bottom w:val="single" w:sz="4" w:space="0" w:color="auto"/>
            </w:tcBorders>
          </w:tcPr>
          <w:p w:rsidR="000A598E" w:rsidRDefault="000A598E" w:rsidP="00A30A78">
            <w:pPr>
              <w:pStyle w:val="tablebullet"/>
            </w:pPr>
            <w:r>
              <w:t>explain how and why Australia’s relationship with Britain and the USA changed during WWII</w:t>
            </w:r>
          </w:p>
        </w:tc>
      </w:tr>
    </w:tbl>
    <w:p w:rsidR="0096671D" w:rsidRDefault="0096671D"/>
    <w:sectPr w:rsidR="0096671D" w:rsidSect="0096671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3D36A5D0"/>
    <w:lvl w:ilvl="0">
      <w:start w:val="1"/>
      <w:numFmt w:val="bullet"/>
      <w:pStyle w:val="ListBullet"/>
      <w:lvlText w:val=""/>
      <w:lvlJc w:val="left"/>
      <w:pPr>
        <w:tabs>
          <w:tab w:val="num" w:pos="360"/>
        </w:tabs>
        <w:ind w:left="357" w:hanging="357"/>
      </w:pPr>
      <w:rPr>
        <w:rFonts w:ascii="Symbol" w:hAnsi="Symbol" w:hint="default"/>
        <w:b w:val="0"/>
        <w:i w:val="0"/>
        <w:sz w:val="16"/>
      </w:rPr>
    </w:lvl>
  </w:abstractNum>
  <w:abstractNum w:abstractNumId="1">
    <w:nsid w:val="1BE55CCE"/>
    <w:multiLevelType w:val="hybridMultilevel"/>
    <w:tmpl w:val="10B40DB8"/>
    <w:lvl w:ilvl="0" w:tplc="1FB637CC">
      <w:start w:val="1"/>
      <w:numFmt w:val="bullet"/>
      <w:pStyle w:val="tablebullet2"/>
      <w:lvlText w:val="–"/>
      <w:lvlJc w:val="left"/>
      <w:pPr>
        <w:tabs>
          <w:tab w:val="num" w:pos="717"/>
        </w:tabs>
        <w:ind w:left="714" w:hanging="357"/>
      </w:pPr>
      <w:rPr>
        <w:rFonts w:ascii="Times New Roman" w:hAnsi="Times New Roman" w:hint="default"/>
      </w:rPr>
    </w:lvl>
    <w:lvl w:ilvl="1" w:tplc="04090003">
      <w:start w:val="1"/>
      <w:numFmt w:val="bullet"/>
      <w:pStyle w:val="tablebullet3"/>
      <w:lvlText w:val="o"/>
      <w:lvlJc w:val="left"/>
      <w:pPr>
        <w:tabs>
          <w:tab w:val="num" w:pos="1440"/>
        </w:tabs>
        <w:ind w:left="1440" w:hanging="360"/>
      </w:pPr>
      <w:rPr>
        <w:rFonts w:ascii="Courier" w:hAnsi="Courier"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w:hAnsi="Courier"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w:hAnsi="Courier"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5896191"/>
    <w:multiLevelType w:val="hybridMultilevel"/>
    <w:tmpl w:val="68E0D674"/>
    <w:lvl w:ilvl="0" w:tplc="0474BEDE">
      <w:start w:val="1"/>
      <w:numFmt w:val="bullet"/>
      <w:pStyle w:val="tablebullet"/>
      <w:lvlText w:val=""/>
      <w:lvlJc w:val="left"/>
      <w:pPr>
        <w:tabs>
          <w:tab w:val="num" w:pos="360"/>
        </w:tabs>
        <w:ind w:left="360" w:hanging="360"/>
      </w:pPr>
      <w:rPr>
        <w:rFonts w:ascii="Symbol" w:hAnsi="Symbol" w:hint="default"/>
        <w:sz w:val="16"/>
      </w:rPr>
    </w:lvl>
    <w:lvl w:ilvl="1" w:tplc="04090003" w:tentative="1">
      <w:start w:val="1"/>
      <w:numFmt w:val="bullet"/>
      <w:lvlText w:val="o"/>
      <w:lvlJc w:val="left"/>
      <w:pPr>
        <w:tabs>
          <w:tab w:val="num" w:pos="360"/>
        </w:tabs>
        <w:ind w:left="360" w:hanging="360"/>
      </w:pPr>
      <w:rPr>
        <w:rFonts w:ascii="Courier" w:hAnsi="Courier"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w:hAnsi="Courier"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w:hAnsi="Courier" w:hint="default"/>
      </w:rPr>
    </w:lvl>
    <w:lvl w:ilvl="8" w:tplc="04090005" w:tentative="1">
      <w:start w:val="1"/>
      <w:numFmt w:val="bullet"/>
      <w:lvlText w:val=""/>
      <w:lvlJc w:val="left"/>
      <w:pPr>
        <w:tabs>
          <w:tab w:val="num" w:pos="5400"/>
        </w:tabs>
        <w:ind w:left="54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A598E"/>
    <w:rsid w:val="000A598E"/>
    <w:rsid w:val="003C2736"/>
    <w:rsid w:val="0096671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98E"/>
    <w:pPr>
      <w:spacing w:after="0" w:line="240" w:lineRule="auto"/>
    </w:pPr>
    <w:rPr>
      <w:rFonts w:ascii="Times" w:eastAsia="Times" w:hAnsi="Times"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ListBullet3"/>
    <w:rsid w:val="000A598E"/>
    <w:pPr>
      <w:numPr>
        <w:numId w:val="1"/>
      </w:numPr>
      <w:contextualSpacing w:val="0"/>
    </w:pPr>
    <w:rPr>
      <w:rFonts w:ascii="Times New Roman" w:eastAsia="Times New Roman" w:hAnsi="Times New Roman"/>
      <w:lang w:val="en-AU"/>
    </w:rPr>
  </w:style>
  <w:style w:type="paragraph" w:customStyle="1" w:styleId="LEVELC">
    <w:name w:val="LEVEL C"/>
    <w:basedOn w:val="Normal"/>
    <w:rsid w:val="000A598E"/>
    <w:rPr>
      <w:rFonts w:ascii="Times New Roman" w:hAnsi="Times New Roman"/>
      <w:b/>
    </w:rPr>
  </w:style>
  <w:style w:type="paragraph" w:customStyle="1" w:styleId="BODYTEXT">
    <w:name w:val="BODY TEXT"/>
    <w:basedOn w:val="Normal"/>
    <w:rsid w:val="000A598E"/>
    <w:rPr>
      <w:rFonts w:ascii="Times New Roman" w:hAnsi="Times New Roman"/>
    </w:rPr>
  </w:style>
  <w:style w:type="paragraph" w:customStyle="1" w:styleId="tabletext">
    <w:name w:val="tabletext"/>
    <w:basedOn w:val="Normal"/>
    <w:rsid w:val="000A598E"/>
    <w:pPr>
      <w:tabs>
        <w:tab w:val="left" w:pos="340"/>
      </w:tabs>
    </w:pPr>
    <w:rPr>
      <w:rFonts w:ascii="Times New Roman" w:eastAsia="Times New Roman" w:hAnsi="Times New Roman"/>
      <w:sz w:val="22"/>
      <w:lang w:val="en-AU"/>
    </w:rPr>
  </w:style>
  <w:style w:type="paragraph" w:customStyle="1" w:styleId="tablebullet">
    <w:name w:val="tablebullet"/>
    <w:basedOn w:val="tabletext"/>
    <w:rsid w:val="000A598E"/>
    <w:pPr>
      <w:numPr>
        <w:numId w:val="2"/>
      </w:numPr>
    </w:pPr>
  </w:style>
  <w:style w:type="paragraph" w:customStyle="1" w:styleId="tablebullet2">
    <w:name w:val="tablebullet2"/>
    <w:basedOn w:val="Normal"/>
    <w:rsid w:val="000A598E"/>
    <w:pPr>
      <w:widowControl w:val="0"/>
      <w:numPr>
        <w:numId w:val="3"/>
      </w:numPr>
    </w:pPr>
    <w:rPr>
      <w:rFonts w:ascii="Times New Roman" w:eastAsia="Times New Roman" w:hAnsi="Times New Roman"/>
      <w:sz w:val="22"/>
    </w:rPr>
  </w:style>
  <w:style w:type="paragraph" w:customStyle="1" w:styleId="tablebullet3">
    <w:name w:val="tablebullet3"/>
    <w:basedOn w:val="Normal"/>
    <w:rsid w:val="000A598E"/>
    <w:pPr>
      <w:widowControl w:val="0"/>
      <w:numPr>
        <w:ilvl w:val="1"/>
        <w:numId w:val="3"/>
      </w:numPr>
    </w:pPr>
    <w:rPr>
      <w:rFonts w:ascii="Times New Roman" w:eastAsia="Times New Roman" w:hAnsi="Times New Roman"/>
      <w:sz w:val="22"/>
      <w:lang w:val="en-AU"/>
    </w:rPr>
  </w:style>
  <w:style w:type="paragraph" w:styleId="ListBullet3">
    <w:name w:val="List Bullet 3"/>
    <w:basedOn w:val="Normal"/>
    <w:uiPriority w:val="99"/>
    <w:semiHidden/>
    <w:unhideWhenUsed/>
    <w:rsid w:val="000A598E"/>
    <w:pPr>
      <w:numPr>
        <w:numId w:val="2"/>
      </w:numPr>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482</Words>
  <Characters>2751</Characters>
  <Application>Microsoft Office Word</Application>
  <DocSecurity>0</DocSecurity>
  <Lines>22</Lines>
  <Paragraphs>6</Paragraphs>
  <ScaleCrop>false</ScaleCrop>
  <Company>DET NSW</Company>
  <LinksUpToDate>false</LinksUpToDate>
  <CharactersWithSpaces>3227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2011-09-06T10:47:00Z</dcterms:created>
  <dcterms:modified xsi:type="dcterms:W3CDTF">2011-09-06T10:48:00Z</dcterms:modified>
</cp:coreProperties>
</file>